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E789" w14:textId="7B1E85F2" w:rsidR="00A335B8" w:rsidRPr="00A335B8" w:rsidRDefault="00A335B8" w:rsidP="00A335B8">
      <w:pPr>
        <w:spacing w:after="0"/>
        <w:jc w:val="center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Методы подобия и размерности в механике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>7М05405-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Механика и энергетика </w:t>
      </w:r>
      <w:r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 xml:space="preserve">Лекция </w:t>
      </w:r>
      <w:r w:rsidRPr="00A335B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9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Краткий конспект </w:t>
      </w:r>
      <w:r w:rsidRPr="00A335B8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</w:p>
    <w:p w14:paraId="5D058109" w14:textId="77777777" w:rsidR="00A335B8" w:rsidRDefault="00A335B8" w:rsidP="00466EF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3A3E5" w14:textId="0A8FAD0D" w:rsidR="00466EF9" w:rsidRPr="00EB3609" w:rsidRDefault="00466EF9" w:rsidP="00466EF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09">
        <w:rPr>
          <w:rFonts w:ascii="Times New Roman" w:hAnsi="Times New Roman" w:cs="Times New Roman"/>
          <w:b/>
          <w:sz w:val="24"/>
          <w:szCs w:val="24"/>
        </w:rPr>
        <w:t>Лекция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EB3609">
        <w:rPr>
          <w:rFonts w:ascii="Times New Roman" w:hAnsi="Times New Roman" w:cs="Times New Roman"/>
          <w:b/>
          <w:sz w:val="24"/>
          <w:szCs w:val="24"/>
        </w:rPr>
        <w:t>. Теплопередача в пограничном слое. Критерии подобия.</w:t>
      </w:r>
    </w:p>
    <w:p w14:paraId="12B36269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 xml:space="preserve">Как известно, в случае ламинарного обтекания твердого тела при </w:t>
      </w:r>
      <w:r w:rsidRPr="00EB3609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EB3609">
        <w:rPr>
          <w:rFonts w:ascii="Times New Roman" w:hAnsi="Times New Roman" w:cs="Times New Roman"/>
          <w:sz w:val="24"/>
          <w:szCs w:val="24"/>
        </w:rPr>
        <w:t>&gt;1 область возмущенного течения рассматривается как тонкий (</w:t>
      </w:r>
      <w:proofErr w:type="spellStart"/>
      <w:r w:rsidRPr="00EB3609">
        <w:rPr>
          <w:rFonts w:ascii="Times New Roman" w:hAnsi="Times New Roman" w:cs="Times New Roman"/>
          <w:sz w:val="24"/>
          <w:szCs w:val="24"/>
        </w:rPr>
        <w:t>пристенный</w:t>
      </w:r>
      <w:proofErr w:type="spellEnd"/>
      <w:r w:rsidRPr="00EB3609">
        <w:rPr>
          <w:rFonts w:ascii="Times New Roman" w:hAnsi="Times New Roman" w:cs="Times New Roman"/>
          <w:sz w:val="24"/>
          <w:szCs w:val="24"/>
        </w:rPr>
        <w:t>) слой вязкой жидкости и область вне пограничного слоя (невозмущенный поток), в которой вязкость не играет роли и течение здесь можно считать потенциальным.</w:t>
      </w:r>
    </w:p>
    <w:p w14:paraId="06D30966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 xml:space="preserve">Пограничный слой характеризуется наличием в нем больших градиентов как скорости, так и температуры. </w:t>
      </w:r>
    </w:p>
    <w:p w14:paraId="691C4AD2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 xml:space="preserve">Область вне пограничного слоя может приближенно рассматриваться как идеальная (невязкая), в которой должны отсутствовать как процессы внутреннего трения, так и процессы теплопроводности. Таким образом, при обтекании нагретого тела при больших значениях числа </w:t>
      </w:r>
      <w:proofErr w:type="spellStart"/>
      <w:r w:rsidRPr="00EB3609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EB3609">
        <w:rPr>
          <w:rFonts w:ascii="Times New Roman" w:hAnsi="Times New Roman" w:cs="Times New Roman"/>
          <w:sz w:val="24"/>
          <w:szCs w:val="24"/>
        </w:rPr>
        <w:t xml:space="preserve"> нагревание жидкости будет происходить практически только в области </w:t>
      </w:r>
      <w:proofErr w:type="spellStart"/>
      <w:r w:rsidRPr="00EB3609">
        <w:rPr>
          <w:rFonts w:ascii="Times New Roman" w:hAnsi="Times New Roman" w:cs="Times New Roman"/>
          <w:sz w:val="24"/>
          <w:szCs w:val="24"/>
        </w:rPr>
        <w:t>пристенного</w:t>
      </w:r>
      <w:proofErr w:type="spellEnd"/>
      <w:r w:rsidRPr="00EB3609">
        <w:rPr>
          <w:rFonts w:ascii="Times New Roman" w:hAnsi="Times New Roman" w:cs="Times New Roman"/>
          <w:sz w:val="24"/>
          <w:szCs w:val="24"/>
        </w:rPr>
        <w:t xml:space="preserve"> слоя, между тем как вне этого слоя температура жидкости не изменится.</w:t>
      </w:r>
    </w:p>
    <w:p w14:paraId="7D6F400A" w14:textId="797B9E72" w:rsidR="00466EF9" w:rsidRPr="00A335B8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09">
        <w:rPr>
          <w:rFonts w:ascii="Times New Roman" w:hAnsi="Times New Roman" w:cs="Times New Roman"/>
          <w:sz w:val="24"/>
          <w:szCs w:val="24"/>
        </w:rPr>
        <w:t xml:space="preserve">Рассмотрим теплопередачу в ламинарном пограничном слое. Как известно, при больших числах </w:t>
      </w:r>
      <w:proofErr w:type="spellStart"/>
      <w:r w:rsidRPr="00EB3609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EB3609">
        <w:rPr>
          <w:rFonts w:ascii="Times New Roman" w:hAnsi="Times New Roman" w:cs="Times New Roman"/>
          <w:sz w:val="24"/>
          <w:szCs w:val="24"/>
        </w:rPr>
        <w:t xml:space="preserve"> в сочетании с динамическим пограничным слоем образуется температурный пограничный слой. Обозначим толщину динамического пограничного слоя – через </w:t>
      </w:r>
      <w:r w:rsidRPr="00A335B8">
        <w:rPr>
          <w:rFonts w:ascii="Times New Roman" w:hAnsi="Times New Roman" w:cs="Times New Roman"/>
          <w:sz w:val="28"/>
          <w:szCs w:val="28"/>
        </w:rPr>
        <w:t>δ</w:t>
      </w:r>
      <w:r w:rsidRPr="00A335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335B8">
        <w:rPr>
          <w:rFonts w:ascii="Times New Roman" w:hAnsi="Times New Roman" w:cs="Times New Roman"/>
          <w:sz w:val="28"/>
          <w:szCs w:val="28"/>
        </w:rPr>
        <w:t>,</w:t>
      </w:r>
      <w:r w:rsidRPr="00EB3609">
        <w:rPr>
          <w:rFonts w:ascii="Times New Roman" w:hAnsi="Times New Roman" w:cs="Times New Roman"/>
          <w:sz w:val="24"/>
          <w:szCs w:val="24"/>
        </w:rPr>
        <w:t xml:space="preserve"> а толщину температурного пограничного слоя – через </w:t>
      </w:r>
      <w:proofErr w:type="spellStart"/>
      <w:r w:rsidRPr="00A335B8">
        <w:rPr>
          <w:rFonts w:ascii="Times New Roman" w:hAnsi="Times New Roman" w:cs="Times New Roman"/>
          <w:sz w:val="28"/>
          <w:szCs w:val="28"/>
        </w:rPr>
        <w:t>δ</w:t>
      </w:r>
      <w:r w:rsidRPr="00A335B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335B8">
        <w:rPr>
          <w:rFonts w:ascii="Times New Roman" w:hAnsi="Times New Roman" w:cs="Times New Roman"/>
          <w:sz w:val="28"/>
          <w:szCs w:val="28"/>
        </w:rPr>
        <w:t>.</w:t>
      </w:r>
    </w:p>
    <w:p w14:paraId="2FF8B319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>Толщина динамического пограничного слоя</w:t>
      </w:r>
    </w:p>
    <w:p w14:paraId="72FB9C79" w14:textId="77777777" w:rsidR="00466EF9" w:rsidRPr="00EB3609" w:rsidRDefault="00E06066" w:rsidP="00466EF9">
      <w:pPr>
        <w:spacing w:after="120" w:line="240" w:lineRule="auto"/>
        <w:ind w:right="-1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Re</m:t>
                </m:r>
              </m:e>
            </m:rad>
          </m:den>
        </m:f>
      </m:oMath>
      <w:r w:rsidR="00466EF9" w:rsidRPr="00A335B8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                                          </w:t>
      </w:r>
      <w:r w:rsidR="00466EF9" w:rsidRPr="00EB3609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14:paraId="39AEB85B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Толщина температурного пограничного слоя </w:t>
      </w:r>
    </w:p>
    <w:p w14:paraId="7EE35232" w14:textId="77777777" w:rsidR="00466EF9" w:rsidRPr="00EB3609" w:rsidRDefault="00E06066" w:rsidP="00466EF9">
      <w:pPr>
        <w:spacing w:after="120" w:line="240" w:lineRule="auto"/>
        <w:ind w:right="-1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Re∙Pr</m:t>
                </m:r>
              </m:e>
            </m:rad>
          </m:den>
        </m:f>
      </m:oMath>
      <w:r w:rsidR="00466EF9"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</w:t>
      </w:r>
      <w:r w:rsidR="00466EF9" w:rsidRPr="00D7094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466EF9"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         (2)</w:t>
      </w:r>
    </w:p>
    <w:p w14:paraId="71D551E1" w14:textId="77777777" w:rsidR="00466EF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>Связав это соотношение с соотношением (1) для толщины динамического пограничного слоя можно получить формулу</w:t>
      </w:r>
    </w:p>
    <w:p w14:paraId="1FB31F8C" w14:textId="77777777" w:rsidR="00466EF9" w:rsidRDefault="00E06066" w:rsidP="00466EF9">
      <w:pPr>
        <w:spacing w:after="120" w:line="240" w:lineRule="auto"/>
        <w:ind w:right="-1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Pr</m:t>
                </m:r>
              </m:e>
            </m:rad>
          </m:den>
        </m:f>
      </m:oMath>
      <w:r w:rsidR="00466EF9" w:rsidRPr="00A335B8">
        <w:rPr>
          <w:rFonts w:ascii="Times New Roman" w:eastAsiaTheme="minorEastAsia" w:hAnsi="Times New Roman" w:cs="Times New Roman"/>
          <w:sz w:val="28"/>
          <w:szCs w:val="28"/>
        </w:rPr>
        <w:t xml:space="preserve"> .    </w:t>
      </w:r>
      <w:r w:rsidR="00466EF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66EF9"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466EF9" w:rsidRPr="00D7094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466EF9"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              (3)</w:t>
      </w:r>
    </w:p>
    <w:p w14:paraId="735E8B0F" w14:textId="77777777" w:rsidR="00A335B8" w:rsidRPr="00EB3609" w:rsidRDefault="00A335B8" w:rsidP="00466EF9">
      <w:pPr>
        <w:spacing w:after="120" w:line="240" w:lineRule="auto"/>
        <w:ind w:right="-1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5CE0C9C" w14:textId="47433CAD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Формула (3) дает наглядное толкование числу Прандтля. Она показывает, что в газах толщина </w:t>
      </w:r>
      <w:r w:rsidRPr="00EB3609">
        <w:rPr>
          <w:rFonts w:ascii="Times New Roman" w:hAnsi="Times New Roman" w:cs="Times New Roman"/>
          <w:sz w:val="24"/>
          <w:szCs w:val="24"/>
        </w:rPr>
        <w:t xml:space="preserve">температурного пограничного слоя примерно одного порядка с толщиной динамического пограничного слоя (так как для газов число </w:t>
      </w:r>
      <w:proofErr w:type="spellStart"/>
      <w:r w:rsidRPr="001D7A1C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1D7A1C">
        <w:rPr>
          <w:rFonts w:ascii="Times New Roman" w:hAnsi="Times New Roman" w:cs="Times New Roman"/>
          <w:sz w:val="24"/>
          <w:szCs w:val="24"/>
        </w:rPr>
        <w:t xml:space="preserve"> ≈</w:t>
      </w:r>
      <w:r w:rsidRPr="00EB3609">
        <w:rPr>
          <w:rFonts w:ascii="Times New Roman" w:hAnsi="Times New Roman" w:cs="Times New Roman"/>
          <w:sz w:val="24"/>
          <w:szCs w:val="24"/>
        </w:rPr>
        <w:t xml:space="preserve"> 1), в жидкостях же температурный пограничный слой тоньше динамического пограничного слоя.</w:t>
      </w:r>
    </w:p>
    <w:p w14:paraId="3CC692D7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 xml:space="preserve">Таким образом, число Прандтля является наиболее важным параметров для </w:t>
      </w:r>
      <w:r w:rsidRPr="00EB3609">
        <w:rPr>
          <w:rFonts w:ascii="Times New Roman" w:eastAsiaTheme="minorEastAsia" w:hAnsi="Times New Roman" w:cs="Times New Roman"/>
          <w:sz w:val="24"/>
          <w:szCs w:val="24"/>
        </w:rPr>
        <w:t>температурного пограничного слоя и для теплопередачи.</w:t>
      </w:r>
    </w:p>
    <w:p w14:paraId="28FC179A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09">
        <w:rPr>
          <w:rFonts w:ascii="Times New Roman" w:hAnsi="Times New Roman" w:cs="Times New Roman"/>
          <w:sz w:val="24"/>
          <w:szCs w:val="24"/>
        </w:rPr>
        <w:t>Если распределение температуры в пограничном слое известно, то коэффициент теплопередачи определяется по формуле</w:t>
      </w:r>
    </w:p>
    <w:p w14:paraId="6A222C16" w14:textId="77777777" w:rsidR="00466EF9" w:rsidRPr="00A335B8" w:rsidRDefault="00466EF9" w:rsidP="00466EF9">
      <w:pPr>
        <w:spacing w:after="12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∂n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≈</m:t>
        </m:r>
        <m:r>
          <w:rPr>
            <w:rFonts w:ascii="Cambria Math" w:hAnsi="Times New Roman" w:cs="Times New Roman"/>
            <w:sz w:val="28"/>
            <w:szCs w:val="28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den>
        </m:f>
      </m:oMath>
      <w:r w:rsidRPr="00A335B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3C022A39" w14:textId="77777777" w:rsidR="00466EF9" w:rsidRPr="00EB3609" w:rsidRDefault="00466EF9" w:rsidP="00466EF9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Поэтому это приводит к результату, что </w:t>
      </w:r>
      <w:r w:rsidRPr="00EB36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, а вместе с ним и число Нуссельта, прямо </w:t>
      </w:r>
      <w:proofErr w:type="gramStart"/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пропорционально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e>
        </m:rad>
      </m:oMath>
      <w:r w:rsidRPr="00EB360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Зависимость же </w:t>
      </w:r>
      <w:r w:rsidRPr="00EB36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EB360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B3609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Pr="00EB360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EB36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Pr</w:t>
      </w:r>
      <w:proofErr w:type="spellEnd"/>
      <w:r w:rsidRPr="00EB360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B3609">
        <w:rPr>
          <w:rFonts w:ascii="Times New Roman" w:eastAsiaTheme="minorEastAsia" w:hAnsi="Times New Roman" w:cs="Times New Roman"/>
          <w:sz w:val="24"/>
          <w:szCs w:val="24"/>
        </w:rPr>
        <w:t>остается неопределенной. Таким образом, получаем, что</w:t>
      </w:r>
    </w:p>
    <w:p w14:paraId="3A1AAB91" w14:textId="77777777" w:rsidR="00466EF9" w:rsidRPr="00EB3609" w:rsidRDefault="00466EF9" w:rsidP="00466EF9">
      <w:pPr>
        <w:spacing w:after="12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Pr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094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Pr="00EB3609">
        <w:rPr>
          <w:rFonts w:ascii="Times New Roman" w:eastAsiaTheme="minorEastAsia" w:hAnsi="Times New Roman" w:cs="Times New Roman"/>
          <w:sz w:val="24"/>
          <w:szCs w:val="24"/>
        </w:rPr>
        <w:t xml:space="preserve">         (4)</w:t>
      </w:r>
      <w:bookmarkStart w:id="0" w:name="_GoBack"/>
      <w:bookmarkEnd w:id="0"/>
    </w:p>
    <w:sectPr w:rsidR="00466EF9" w:rsidRPr="00EB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F9"/>
    <w:rsid w:val="001D527A"/>
    <w:rsid w:val="002058CE"/>
    <w:rsid w:val="00466EF9"/>
    <w:rsid w:val="00A335B8"/>
    <w:rsid w:val="00E06066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8182"/>
  <w15:chartTrackingRefBased/>
  <w15:docId w15:val="{3EC4605D-6736-4FA3-851E-9CD4CD05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F9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E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E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E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E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E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E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E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46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6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EF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6E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EF9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466E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6E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6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4</cp:revision>
  <dcterms:created xsi:type="dcterms:W3CDTF">2024-11-01T13:30:00Z</dcterms:created>
  <dcterms:modified xsi:type="dcterms:W3CDTF">2024-11-05T05:10:00Z</dcterms:modified>
</cp:coreProperties>
</file>